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EF" w:rsidRPr="009750C7" w:rsidRDefault="007C3CEF" w:rsidP="007C3CEF">
      <w:pPr>
        <w:shd w:val="clear" w:color="auto" w:fill="DBE5F1" w:themeFill="accent1" w:themeFillTint="33"/>
        <w:rPr>
          <w:rFonts w:cs="Arial"/>
          <w:b/>
        </w:rPr>
      </w:pPr>
      <w:r w:rsidRPr="009750C7">
        <w:rPr>
          <w:rFonts w:cs="Arial"/>
          <w:b/>
        </w:rPr>
        <w:t xml:space="preserve">Pro forma </w:t>
      </w:r>
      <w:r>
        <w:rPr>
          <w:rFonts w:cs="Arial"/>
          <w:b/>
        </w:rPr>
        <w:t>X4</w:t>
      </w:r>
    </w:p>
    <w:p w:rsidR="007C3CEF" w:rsidRPr="00C32E71" w:rsidRDefault="007C3CEF" w:rsidP="007C3CEF">
      <w:pPr>
        <w:shd w:val="clear" w:color="auto" w:fill="DBE5F1" w:themeFill="accent1" w:themeFillTint="33"/>
        <w:rPr>
          <w:rFonts w:cs="Arial"/>
        </w:rPr>
      </w:pPr>
      <w:r w:rsidRPr="00C32E71">
        <w:rPr>
          <w:rFonts w:cs="Arial"/>
        </w:rPr>
        <w:t xml:space="preserve">Final confirmation of contract expiry </w:t>
      </w:r>
      <w:r>
        <w:rPr>
          <w:rFonts w:cs="Arial"/>
        </w:rPr>
        <w:t>(</w:t>
      </w:r>
      <w:r w:rsidRPr="00C32E71">
        <w:rPr>
          <w:rFonts w:cs="Arial"/>
        </w:rPr>
        <w:t>“Notice of dismissal</w:t>
      </w:r>
      <w:r w:rsidR="00423279">
        <w:rPr>
          <w:rFonts w:cs="Arial"/>
        </w:rPr>
        <w:t>”</w:t>
      </w:r>
      <w:r>
        <w:rPr>
          <w:rFonts w:cs="Arial"/>
        </w:rPr>
        <w:t>)</w:t>
      </w:r>
      <w:r w:rsidR="00551281">
        <w:rPr>
          <w:rFonts w:cs="Arial"/>
        </w:rPr>
        <w:t xml:space="preserve"> </w:t>
      </w:r>
      <w:r w:rsidRPr="00C32E71">
        <w:rPr>
          <w:rFonts w:cs="Arial"/>
        </w:rPr>
        <w:t xml:space="preserve">(staff with </w:t>
      </w:r>
      <w:r w:rsidRPr="00C32E71">
        <w:rPr>
          <w:rFonts w:cs="Arial"/>
          <w:b/>
        </w:rPr>
        <w:t>two or more years</w:t>
      </w:r>
      <w:r>
        <w:rPr>
          <w:rFonts w:cs="Arial"/>
          <w:b/>
        </w:rPr>
        <w:t>’</w:t>
      </w:r>
      <w:r w:rsidRPr="00C32E71">
        <w:rPr>
          <w:rFonts w:cs="Arial"/>
        </w:rPr>
        <w:t xml:space="preserve"> continuous service)</w:t>
      </w:r>
      <w:r w:rsidR="00423279">
        <w:rPr>
          <w:rFonts w:cs="Arial"/>
        </w:rPr>
        <w:t>.</w:t>
      </w:r>
    </w:p>
    <w:p w:rsidR="007C3CEF" w:rsidRPr="00C32E71" w:rsidRDefault="007C3CEF" w:rsidP="007C3CEF">
      <w:pPr>
        <w:shd w:val="clear" w:color="auto" w:fill="DBE5F1" w:themeFill="accent1" w:themeFillTint="33"/>
        <w:rPr>
          <w:rFonts w:cs="Arial"/>
        </w:rPr>
      </w:pPr>
      <w:r w:rsidRPr="00C32E71">
        <w:rPr>
          <w:rFonts w:cs="Arial"/>
        </w:rPr>
        <w:t xml:space="preserve">To be sent </w:t>
      </w:r>
      <w:r w:rsidRPr="00C32E71">
        <w:rPr>
          <w:rFonts w:cs="Arial"/>
          <w:b/>
        </w:rPr>
        <w:t>one month before</w:t>
      </w:r>
      <w:r w:rsidRPr="00C32E71">
        <w:rPr>
          <w:rFonts w:cs="Arial"/>
        </w:rPr>
        <w:t xml:space="preserve"> the end date of a fixed-term contract</w:t>
      </w:r>
      <w:r w:rsidR="00551281">
        <w:rPr>
          <w:rFonts w:cs="Arial"/>
        </w:rPr>
        <w:t>.</w:t>
      </w:r>
    </w:p>
    <w:p w:rsidR="007C3CEF" w:rsidRPr="009750C7" w:rsidRDefault="007C3CEF" w:rsidP="007C3CEF">
      <w:pPr>
        <w:jc w:val="right"/>
        <w:rPr>
          <w:rFonts w:cs="Arial"/>
        </w:rPr>
      </w:pPr>
      <w:r w:rsidRPr="009750C7">
        <w:rPr>
          <w:rFonts w:cs="Arial"/>
        </w:rPr>
        <w:t xml:space="preserve"> [</w:t>
      </w:r>
      <w:r w:rsidRPr="00EE50B5">
        <w:rPr>
          <w:rFonts w:cs="Arial"/>
          <w:highlight w:val="yellow"/>
        </w:rPr>
        <w:t>Date</w:t>
      </w:r>
      <w:r w:rsidRPr="009750C7">
        <w:rPr>
          <w:rFonts w:cs="Arial"/>
        </w:rPr>
        <w:t>]</w:t>
      </w:r>
    </w:p>
    <w:p w:rsidR="007C3CEF" w:rsidRPr="009750C7" w:rsidRDefault="007C3CEF" w:rsidP="007C3CEF">
      <w:pPr>
        <w:rPr>
          <w:rFonts w:cs="Arial"/>
        </w:rPr>
      </w:pPr>
      <w:r w:rsidRPr="009750C7">
        <w:rPr>
          <w:rFonts w:cs="Arial"/>
        </w:rPr>
        <w:t>Dear [</w:t>
      </w:r>
      <w:r w:rsidRPr="00EE50B5">
        <w:rPr>
          <w:rFonts w:cs="Arial"/>
          <w:highlight w:val="yellow"/>
        </w:rPr>
        <w:t>employee</w:t>
      </w:r>
      <w:r w:rsidRPr="009750C7">
        <w:rPr>
          <w:rFonts w:cs="Arial"/>
        </w:rPr>
        <w:t>]</w:t>
      </w:r>
    </w:p>
    <w:p w:rsidR="007C3CEF" w:rsidRPr="009750C7" w:rsidRDefault="007C3CEF" w:rsidP="009C7DA8">
      <w:pPr>
        <w:spacing w:line="276" w:lineRule="auto"/>
        <w:rPr>
          <w:rFonts w:cs="Arial"/>
        </w:rPr>
      </w:pPr>
      <w:r w:rsidRPr="009750C7">
        <w:rPr>
          <w:rFonts w:cs="Arial"/>
        </w:rPr>
        <w:t>As I wrote to remind you on [</w:t>
      </w:r>
      <w:r w:rsidRPr="00B85656">
        <w:rPr>
          <w:rFonts w:cs="Arial"/>
          <w:highlight w:val="yellow"/>
        </w:rPr>
        <w:t>date</w:t>
      </w:r>
      <w:r w:rsidRPr="009750C7">
        <w:rPr>
          <w:rFonts w:cs="Arial"/>
        </w:rPr>
        <w:t>], your employment is due to terminate on [</w:t>
      </w:r>
      <w:r w:rsidRPr="00B85656">
        <w:rPr>
          <w:rFonts w:cs="Arial"/>
          <w:highlight w:val="yellow"/>
        </w:rPr>
        <w:t>date</w:t>
      </w:r>
      <w:r w:rsidRPr="009750C7">
        <w:rPr>
          <w:rFonts w:cs="Arial"/>
        </w:rPr>
        <w:t>]</w:t>
      </w:r>
      <w:r>
        <w:rPr>
          <w:rFonts w:cs="Arial"/>
        </w:rPr>
        <w:t xml:space="preserve"> on expiry of your current contract</w:t>
      </w:r>
      <w:r w:rsidRPr="009750C7">
        <w:rPr>
          <w:rFonts w:cs="Arial"/>
        </w:rPr>
        <w:t>.  Since we met on [</w:t>
      </w:r>
      <w:r w:rsidRPr="00B85656">
        <w:rPr>
          <w:rFonts w:cs="Arial"/>
          <w:highlight w:val="yellow"/>
        </w:rPr>
        <w:t>date</w:t>
      </w:r>
      <w:r w:rsidRPr="009750C7">
        <w:rPr>
          <w:rFonts w:cs="Arial"/>
        </w:rPr>
        <w:t>] we have considered ways to avoid y</w:t>
      </w:r>
      <w:r>
        <w:rPr>
          <w:rFonts w:cs="Arial"/>
        </w:rPr>
        <w:t>our employment ending</w:t>
      </w:r>
      <w:r w:rsidRPr="009750C7">
        <w:rPr>
          <w:rFonts w:cs="Arial"/>
        </w:rPr>
        <w:t xml:space="preserve">.  However, as we have not so far managed to find a way to extend your current contract, and you have not been successful in securing suitable alternative employment, I must advise you that your contract will </w:t>
      </w:r>
      <w:r>
        <w:rPr>
          <w:rFonts w:cs="Arial"/>
        </w:rPr>
        <w:t>expire</w:t>
      </w:r>
      <w:r w:rsidRPr="009750C7">
        <w:rPr>
          <w:rFonts w:cs="Arial"/>
        </w:rPr>
        <w:t xml:space="preserve"> on [</w:t>
      </w:r>
      <w:r w:rsidRPr="00B85656">
        <w:rPr>
          <w:rFonts w:cs="Arial"/>
          <w:highlight w:val="yellow"/>
        </w:rPr>
        <w:t>date</w:t>
      </w:r>
      <w:r w:rsidRPr="009750C7">
        <w:rPr>
          <w:rFonts w:cs="Arial"/>
        </w:rPr>
        <w:t>].</w:t>
      </w:r>
    </w:p>
    <w:p w:rsidR="007C3CEF" w:rsidRPr="009750C7" w:rsidRDefault="007C3CEF" w:rsidP="009C7DA8">
      <w:pPr>
        <w:spacing w:line="276" w:lineRule="auto"/>
        <w:rPr>
          <w:rFonts w:cs="Arial"/>
        </w:rPr>
      </w:pPr>
      <w:r>
        <w:rPr>
          <w:rFonts w:cs="Arial"/>
        </w:rPr>
        <w:t>Unless you have managed to secure another post within the University before your expected contract expiry date, w</w:t>
      </w:r>
      <w:r w:rsidRPr="009750C7">
        <w:rPr>
          <w:rFonts w:cs="Arial"/>
        </w:rPr>
        <w:t xml:space="preserve">hen your </w:t>
      </w:r>
      <w:r>
        <w:rPr>
          <w:rFonts w:cs="Arial"/>
        </w:rPr>
        <w:t>employment</w:t>
      </w:r>
      <w:r w:rsidRPr="009750C7">
        <w:rPr>
          <w:rFonts w:cs="Arial"/>
        </w:rPr>
        <w:t xml:space="preserve"> ends you will be eligible to receive Statutory Redundancy Pay.  </w:t>
      </w:r>
      <w:r>
        <w:rPr>
          <w:rFonts w:cs="Arial"/>
        </w:rPr>
        <w:t xml:space="preserve">Statutory redundancy payments are made at the rate set by government, and using the </w:t>
      </w:r>
      <w:hyperlink r:id="rId4" w:history="1">
        <w:r w:rsidRPr="009C7DA8">
          <w:rPr>
            <w:rStyle w:val="Hyperlink"/>
            <w:rFonts w:cs="Arial"/>
          </w:rPr>
          <w:t>Government’s calculator tool</w:t>
        </w:r>
      </w:hyperlink>
      <w:r w:rsidR="009C7DA8">
        <w:rPr>
          <w:rFonts w:cs="Arial"/>
        </w:rPr>
        <w:t>.</w:t>
      </w:r>
      <w:r>
        <w:rPr>
          <w:rFonts w:cs="Arial"/>
        </w:rPr>
        <w:t xml:space="preserve"> </w:t>
      </w:r>
      <w:r w:rsidRPr="009750C7">
        <w:rPr>
          <w:rFonts w:cs="Arial"/>
        </w:rPr>
        <w:t xml:space="preserve">I attach a </w:t>
      </w:r>
      <w:r>
        <w:rPr>
          <w:rFonts w:cs="Arial"/>
        </w:rPr>
        <w:t>print out of the calculation</w:t>
      </w:r>
      <w:r w:rsidRPr="009750C7">
        <w:rPr>
          <w:rFonts w:cs="Arial"/>
        </w:rPr>
        <w:t>.</w:t>
      </w:r>
      <w:r>
        <w:rPr>
          <w:rFonts w:cs="Arial"/>
        </w:rPr>
        <w:t xml:space="preserve">  </w:t>
      </w:r>
    </w:p>
    <w:p w:rsidR="006B0AD0" w:rsidRDefault="007C3CEF" w:rsidP="009C7DA8">
      <w:pPr>
        <w:spacing w:line="276" w:lineRule="auto"/>
        <w:rPr>
          <w:rFonts w:cs="Arial"/>
        </w:rPr>
      </w:pPr>
      <w:r w:rsidRPr="00EE50B5">
        <w:rPr>
          <w:rFonts w:cs="Arial"/>
          <w:highlight w:val="yellow"/>
        </w:rPr>
        <w:t>[</w:t>
      </w:r>
      <w:r w:rsidRPr="00423279">
        <w:rPr>
          <w:rFonts w:cs="Arial"/>
          <w:i/>
          <w:highlight w:val="yellow"/>
        </w:rPr>
        <w:t>For academic-related staff</w:t>
      </w:r>
      <w:r w:rsidRPr="009750C7">
        <w:rPr>
          <w:rFonts w:cs="Arial"/>
        </w:rPr>
        <w:t xml:space="preserve">] Should you wish to appeal against the decision not to continue your employment, you have a right to do so.  You should write to the Registrar within 28 days of the date of this letter, outlining your grounds for appeal.  The procedure to be followed is that laid down in </w:t>
      </w:r>
      <w:hyperlink r:id="rId5" w:anchor="collapse1383111" w:history="1">
        <w:r w:rsidRPr="006B0AD0">
          <w:rPr>
            <w:rStyle w:val="Hyperlink"/>
            <w:rFonts w:cs="Arial"/>
          </w:rPr>
          <w:t xml:space="preserve">Statute </w:t>
        </w:r>
        <w:r w:rsidRPr="006B0AD0">
          <w:rPr>
            <w:rStyle w:val="Hyperlink"/>
            <w:rFonts w:cs="Arial"/>
          </w:rPr>
          <w:t>X</w:t>
        </w:r>
        <w:r w:rsidRPr="006B0AD0">
          <w:rPr>
            <w:rStyle w:val="Hyperlink"/>
            <w:rFonts w:cs="Arial"/>
          </w:rPr>
          <w:t>II, Part H</w:t>
        </w:r>
      </w:hyperlink>
      <w:r w:rsidRPr="009750C7">
        <w:rPr>
          <w:rFonts w:cs="Arial"/>
        </w:rPr>
        <w:t>.</w:t>
      </w:r>
      <w:r w:rsidR="009C7DA8">
        <w:rPr>
          <w:rFonts w:cs="Arial"/>
        </w:rPr>
        <w:t xml:space="preserve"> </w:t>
      </w:r>
    </w:p>
    <w:p w:rsidR="007C3CEF" w:rsidRPr="009750C7" w:rsidRDefault="007C3CEF" w:rsidP="009C7DA8">
      <w:pPr>
        <w:spacing w:line="276" w:lineRule="auto"/>
        <w:rPr>
          <w:rFonts w:cs="Arial"/>
        </w:rPr>
      </w:pPr>
      <w:r w:rsidRPr="009750C7">
        <w:rPr>
          <w:rFonts w:cs="Arial"/>
        </w:rPr>
        <w:t>[</w:t>
      </w:r>
      <w:r w:rsidRPr="00423279">
        <w:rPr>
          <w:rFonts w:cs="Arial"/>
          <w:i/>
          <w:highlight w:val="yellow"/>
        </w:rPr>
        <w:t xml:space="preserve">For support </w:t>
      </w:r>
      <w:proofErr w:type="gramStart"/>
      <w:r w:rsidRPr="00423279">
        <w:rPr>
          <w:rFonts w:cs="Arial"/>
          <w:i/>
          <w:highlight w:val="yellow"/>
        </w:rPr>
        <w:t>staff</w:t>
      </w:r>
      <w:r w:rsidRPr="009750C7">
        <w:rPr>
          <w:rFonts w:cs="Arial"/>
        </w:rPr>
        <w:t>]  Should</w:t>
      </w:r>
      <w:proofErr w:type="gramEnd"/>
      <w:r w:rsidRPr="009750C7">
        <w:rPr>
          <w:rFonts w:cs="Arial"/>
        </w:rPr>
        <w:t xml:space="preserve"> you wish to appeal against the decision not to continue your employment, you have a right to do so.  You should write to the </w:t>
      </w:r>
      <w:r>
        <w:rPr>
          <w:rFonts w:cs="Arial"/>
        </w:rPr>
        <w:t xml:space="preserve">HR </w:t>
      </w:r>
      <w:r w:rsidRPr="009750C7">
        <w:rPr>
          <w:rFonts w:cs="Arial"/>
        </w:rPr>
        <w:t>Director within 14 days of the date of this letter, outlining your grounds for appeal.</w:t>
      </w:r>
    </w:p>
    <w:p w:rsidR="007C3CEF" w:rsidRPr="009750C7" w:rsidRDefault="007C3CEF" w:rsidP="007C3CEF">
      <w:pPr>
        <w:rPr>
          <w:rFonts w:cs="Arial"/>
        </w:rPr>
      </w:pPr>
      <w:r w:rsidRPr="009750C7">
        <w:rPr>
          <w:rFonts w:cs="Arial"/>
        </w:rPr>
        <w:t>Yours sincerely,</w:t>
      </w:r>
    </w:p>
    <w:p w:rsidR="004864C8" w:rsidRDefault="004864C8" w:rsidP="007C3CEF">
      <w:pPr>
        <w:rPr>
          <w:rFonts w:cs="Arial"/>
          <w:highlight w:val="yellow"/>
        </w:rPr>
      </w:pPr>
    </w:p>
    <w:p w:rsidR="004864C8" w:rsidRDefault="004864C8" w:rsidP="007C3CEF">
      <w:pPr>
        <w:rPr>
          <w:rFonts w:cs="Arial"/>
          <w:highlight w:val="yellow"/>
        </w:rPr>
      </w:pPr>
    </w:p>
    <w:p w:rsidR="007C3CEF" w:rsidRDefault="00551281" w:rsidP="007C3CEF">
      <w:pPr>
        <w:rPr>
          <w:rFonts w:cs="Arial"/>
          <w:highlight w:val="yellow"/>
        </w:rPr>
      </w:pPr>
      <w:r w:rsidRPr="00551281">
        <w:rPr>
          <w:rFonts w:cs="Arial"/>
          <w:highlight w:val="yellow"/>
        </w:rPr>
        <w:t>[</w:t>
      </w:r>
      <w:r>
        <w:rPr>
          <w:rFonts w:cs="Arial"/>
          <w:highlight w:val="yellow"/>
        </w:rPr>
        <w:t>To be signed by s</w:t>
      </w:r>
      <w:r w:rsidRPr="00551281">
        <w:rPr>
          <w:rFonts w:cs="Arial"/>
          <w:highlight w:val="yellow"/>
        </w:rPr>
        <w:t>ignatory of previous letters]</w:t>
      </w:r>
    </w:p>
    <w:p w:rsidR="006B0AD0" w:rsidRPr="009750C7" w:rsidRDefault="006B0AD0" w:rsidP="007C3CEF">
      <w:pPr>
        <w:rPr>
          <w:rFonts w:cs="Arial"/>
        </w:rPr>
      </w:pPr>
      <w:r w:rsidRPr="006B0AD0">
        <w:rPr>
          <w:rFonts w:cs="Arial"/>
          <w:highlight w:val="yellow"/>
        </w:rPr>
        <w:t>[cc line manager]</w:t>
      </w:r>
    </w:p>
    <w:p w:rsidR="007C3CEF" w:rsidRPr="009750C7" w:rsidRDefault="007C3CEF" w:rsidP="007C3CEF">
      <w:pPr>
        <w:rPr>
          <w:rFonts w:cs="Arial"/>
        </w:rPr>
      </w:pPr>
    </w:p>
    <w:p w:rsidR="007C3CEF" w:rsidRDefault="007C3CEF" w:rsidP="007C3CEF">
      <w:pPr>
        <w:rPr>
          <w:rFonts w:cs="Arial"/>
        </w:rPr>
      </w:pPr>
      <w:r w:rsidRPr="00C32E71">
        <w:rPr>
          <w:rFonts w:cs="Arial"/>
        </w:rPr>
        <w:t>Enc</w:t>
      </w:r>
      <w:r w:rsidR="00423279">
        <w:rPr>
          <w:rFonts w:cs="Arial"/>
        </w:rPr>
        <w:t>.</w:t>
      </w:r>
      <w:r w:rsidRPr="00C32E71">
        <w:rPr>
          <w:rFonts w:cs="Arial"/>
        </w:rPr>
        <w:t xml:space="preserve"> </w:t>
      </w:r>
      <w:r w:rsidR="00423279">
        <w:rPr>
          <w:rFonts w:cs="Arial"/>
        </w:rPr>
        <w:t>P</w:t>
      </w:r>
      <w:r w:rsidR="004864C8">
        <w:rPr>
          <w:rFonts w:cs="Arial"/>
        </w:rPr>
        <w:t>rint</w:t>
      </w:r>
      <w:r w:rsidRPr="004864C8">
        <w:rPr>
          <w:rFonts w:cs="Arial"/>
        </w:rPr>
        <w:t xml:space="preserve">out of the </w:t>
      </w:r>
      <w:proofErr w:type="spellStart"/>
      <w:r w:rsidRPr="004864C8">
        <w:rPr>
          <w:rFonts w:cs="Arial"/>
        </w:rPr>
        <w:t>GovUK</w:t>
      </w:r>
      <w:proofErr w:type="spellEnd"/>
      <w:r w:rsidRPr="004864C8">
        <w:rPr>
          <w:rFonts w:cs="Arial"/>
        </w:rPr>
        <w:t xml:space="preserve"> calculation </w:t>
      </w:r>
    </w:p>
    <w:p w:rsidR="007C3CEF" w:rsidRDefault="007C3CEF" w:rsidP="007C3CEF">
      <w:pPr>
        <w:tabs>
          <w:tab w:val="clear" w:pos="567"/>
          <w:tab w:val="clear" w:pos="1134"/>
          <w:tab w:val="clear" w:pos="1701"/>
          <w:tab w:val="clear" w:pos="5670"/>
          <w:tab w:val="clear" w:pos="9072"/>
        </w:tabs>
        <w:spacing w:after="200" w:line="276" w:lineRule="auto"/>
        <w:rPr>
          <w:rFonts w:cs="Arial"/>
        </w:rPr>
      </w:pPr>
      <w:r>
        <w:rPr>
          <w:rFonts w:cs="Arial"/>
        </w:rPr>
        <w:br w:type="page"/>
      </w:r>
    </w:p>
    <w:p w:rsidR="002E2B00" w:rsidRDefault="002E2B00" w:rsidP="002E2B00">
      <w:pPr>
        <w:rPr>
          <w:rFonts w:cs="Arial"/>
        </w:rPr>
      </w:pPr>
      <w:r w:rsidRPr="00EE50B5">
        <w:rPr>
          <w:rFonts w:cs="Arial"/>
          <w:highlight w:val="yellow"/>
        </w:rPr>
        <w:lastRenderedPageBreak/>
        <w:t>[</w:t>
      </w:r>
      <w:r w:rsidRPr="00EE50B5">
        <w:rPr>
          <w:rFonts w:cs="Arial"/>
          <w:i/>
          <w:highlight w:val="yellow"/>
        </w:rPr>
        <w:t xml:space="preserve">example </w:t>
      </w:r>
      <w:r>
        <w:rPr>
          <w:rFonts w:cs="Arial"/>
          <w:i/>
          <w:highlight w:val="yellow"/>
        </w:rPr>
        <w:t>for illustration purposes only</w:t>
      </w:r>
      <w:r w:rsidRPr="00EE50B5">
        <w:rPr>
          <w:rFonts w:cs="Arial"/>
          <w:i/>
          <w:highlight w:val="yellow"/>
        </w:rPr>
        <w:t>,</w:t>
      </w:r>
      <w:r>
        <w:rPr>
          <w:rFonts w:cs="Arial"/>
          <w:i/>
          <w:highlight w:val="yellow"/>
        </w:rPr>
        <w:t xml:space="preserve"> </w:t>
      </w:r>
      <w:bookmarkStart w:id="0" w:name="_GoBack"/>
      <w:bookmarkEnd w:id="0"/>
      <w:r>
        <w:rPr>
          <w:rFonts w:cs="Arial"/>
          <w:i/>
          <w:highlight w:val="yellow"/>
        </w:rPr>
        <w:t>to be replaced with relevant details</w:t>
      </w:r>
      <w:r w:rsidRPr="00EE50B5">
        <w:rPr>
          <w:rFonts w:cs="Arial"/>
          <w:i/>
          <w:highlight w:val="yellow"/>
        </w:rPr>
        <w:t>]</w:t>
      </w:r>
      <w:r>
        <w:rPr>
          <w:rFonts w:cs="Arial"/>
        </w:rPr>
        <w:t xml:space="preserve"> </w:t>
      </w:r>
    </w:p>
    <w:p w:rsidR="00385E4B" w:rsidRPr="007C3CEF" w:rsidRDefault="007C3CEF">
      <w:pPr>
        <w:rPr>
          <w:rFonts w:cs="Arial"/>
        </w:rPr>
      </w:pPr>
      <w:r>
        <w:rPr>
          <w:noProof/>
          <w:lang w:eastAsia="en-GB"/>
        </w:rPr>
        <w:drawing>
          <wp:inline distT="0" distB="0" distL="0" distR="0" wp14:anchorId="55AED08F" wp14:editId="2E83D611">
            <wp:extent cx="4524202" cy="8312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30022" t="9220" r="43215"/>
                    <a:stretch/>
                  </pic:blipFill>
                  <pic:spPr bwMode="auto">
                    <a:xfrm>
                      <a:off x="0" y="0"/>
                      <a:ext cx="4539402" cy="8340336"/>
                    </a:xfrm>
                    <a:prstGeom prst="rect">
                      <a:avLst/>
                    </a:prstGeom>
                    <a:ln>
                      <a:noFill/>
                    </a:ln>
                    <a:extLst>
                      <a:ext uri="{53640926-AAD7-44D8-BBD7-CCE9431645EC}">
                        <a14:shadowObscured xmlns:a14="http://schemas.microsoft.com/office/drawing/2010/main"/>
                      </a:ext>
                    </a:extLst>
                  </pic:spPr>
                </pic:pic>
              </a:graphicData>
            </a:graphic>
          </wp:inline>
        </w:drawing>
      </w:r>
    </w:p>
    <w:sectPr w:rsidR="00385E4B" w:rsidRPr="007C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CEF"/>
    <w:rsid w:val="002339D6"/>
    <w:rsid w:val="002E2B00"/>
    <w:rsid w:val="00385E4B"/>
    <w:rsid w:val="003B2617"/>
    <w:rsid w:val="00423279"/>
    <w:rsid w:val="004864C8"/>
    <w:rsid w:val="00551281"/>
    <w:rsid w:val="006B0AD0"/>
    <w:rsid w:val="007C3CEF"/>
    <w:rsid w:val="009C7DA8"/>
    <w:rsid w:val="00CB48F9"/>
    <w:rsid w:val="00CC7D53"/>
    <w:rsid w:val="00D1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2799"/>
  <w15:docId w15:val="{BD715558-2F28-49BB-827B-14F0E8AB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CEF"/>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CEF"/>
    <w:rPr>
      <w:color w:val="0000FF" w:themeColor="hyperlink"/>
      <w:u w:val="single"/>
    </w:rPr>
  </w:style>
  <w:style w:type="paragraph" w:styleId="BalloonText">
    <w:name w:val="Balloon Text"/>
    <w:basedOn w:val="Normal"/>
    <w:link w:val="BalloonTextChar"/>
    <w:uiPriority w:val="99"/>
    <w:semiHidden/>
    <w:unhideWhenUsed/>
    <w:rsid w:val="007C3C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E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C7DA8"/>
    <w:rPr>
      <w:color w:val="800080" w:themeColor="followedHyperlink"/>
      <w:u w:val="single"/>
    </w:rPr>
  </w:style>
  <w:style w:type="character" w:styleId="UnresolvedMention">
    <w:name w:val="Unresolved Mention"/>
    <w:basedOn w:val="DefaultParagraphFont"/>
    <w:uiPriority w:val="99"/>
    <w:semiHidden/>
    <w:unhideWhenUsed/>
    <w:rsid w:val="006B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governance.admin.ox.ac.uk/legislation/statute-xii-academic-staff-and-the-visitatorial-board" TargetMode="External"/><Relationship Id="rId4" Type="http://schemas.openxmlformats.org/officeDocument/2006/relationships/hyperlink" Target="https://www.gov.uk/calculate-your-redundancy-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2</cp:revision>
  <cp:lastPrinted>2015-01-27T09:38:00Z</cp:lastPrinted>
  <dcterms:created xsi:type="dcterms:W3CDTF">2024-06-11T08:53:00Z</dcterms:created>
  <dcterms:modified xsi:type="dcterms:W3CDTF">2024-06-11T08:53:00Z</dcterms:modified>
</cp:coreProperties>
</file>